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B548" w14:textId="77777777" w:rsidR="00BC6F16" w:rsidRPr="00BC6F16" w:rsidRDefault="00BC6F16" w:rsidP="00BC6F16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Самозанятые смогут получать пособие по больничному с 2026 года – закон опубликован</w:t>
      </w:r>
    </w:p>
    <w:p w14:paraId="65BE2E98" w14:textId="77777777" w:rsidR="00BC6F16" w:rsidRPr="00BC6F16" w:rsidRDefault="00BC6F16" w:rsidP="00BC6F16">
      <w:pPr>
        <w:shd w:val="clear" w:color="auto" w:fill="FFFFFF"/>
        <w:spacing w:after="0" w:line="480" w:lineRule="atLeast"/>
        <w:textAlignment w:val="baseline"/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</w:pPr>
      <w:hyperlink r:id="rId4" w:history="1">
        <w:r w:rsidRPr="00BC6F16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Изменения-2026</w:t>
        </w:r>
      </w:hyperlink>
      <w:r w:rsidRPr="00BC6F16"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5" w:history="1">
        <w:r w:rsidRPr="00BC6F16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Страховые взносы</w:t>
        </w:r>
      </w:hyperlink>
      <w:r w:rsidRPr="00BC6F16">
        <w:rPr>
          <w:rFonts w:ascii="PT Sans" w:eastAsia="Times New Roman" w:hAnsi="PT Sans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hyperlink r:id="rId6" w:history="1">
        <w:r w:rsidRPr="00BC6F16">
          <w:rPr>
            <w:rFonts w:ascii="PT Sans" w:eastAsia="Times New Roman" w:hAnsi="PT Sans" w:cs="Times New Roman"/>
            <w:color w:val="0E0E0E"/>
            <w:kern w:val="0"/>
            <w:sz w:val="26"/>
            <w:szCs w:val="26"/>
            <w:bdr w:val="none" w:sz="0" w:space="0" w:color="auto" w:frame="1"/>
            <w:shd w:val="clear" w:color="auto" w:fill="F2F1F4"/>
            <w:lang w:eastAsia="ru-RU"/>
            <w14:ligatures w14:val="none"/>
          </w:rPr>
          <w:t>Больничный лист</w:t>
        </w:r>
      </w:hyperlink>
    </w:p>
    <w:p w14:paraId="4C0E7A33" w14:textId="77777777" w:rsidR="00BC6F16" w:rsidRPr="00BC6F16" w:rsidRDefault="00BC6F16" w:rsidP="00BC6F16">
      <w:pPr>
        <w:shd w:val="clear" w:color="auto" w:fill="FFFFFF"/>
        <w:spacing w:after="0" w:line="0" w:lineRule="auto"/>
        <w:textAlignment w:val="baseline"/>
        <w:rPr>
          <w:rFonts w:ascii="PT Serif" w:eastAsia="Times New Roman" w:hAnsi="PT Serif" w:cs="Times New Roman"/>
          <w:color w:val="0E0E0E"/>
          <w:kern w:val="0"/>
          <w:sz w:val="2"/>
          <w:szCs w:val="2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noProof/>
          <w:color w:val="0E0E0E"/>
          <w:kern w:val="0"/>
          <w:sz w:val="2"/>
          <w:szCs w:val="2"/>
          <w:lang w:eastAsia="ru-RU"/>
          <w14:ligatures w14:val="none"/>
        </w:rPr>
        <w:drawing>
          <wp:inline distT="0" distB="0" distL="0" distR="0" wp14:anchorId="76359F84" wp14:editId="023575E1">
            <wp:extent cx="2670810" cy="174180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CF77" w14:textId="77777777" w:rsidR="00BC6F16" w:rsidRPr="00BC6F16" w:rsidRDefault="00BC6F16" w:rsidP="00BC6F16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В период с </w:t>
      </w:r>
      <w:hyperlink r:id="rId8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1 января 2026 года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по </w:t>
      </w:r>
      <w:hyperlink r:id="rId9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31 декабря 2028 года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пройдет эксперимент по добровольному страхованию на случай нетрудоспособности самозанятых.</w:t>
      </w:r>
    </w:p>
    <w:p w14:paraId="698DF95F" w14:textId="77777777" w:rsidR="00BC6F16" w:rsidRPr="00BC6F16" w:rsidRDefault="00BC6F16" w:rsidP="00BC6F16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Плательщики НПД смогут оформлять оплачиваемые больничные. Для этого нужно добровольно зарегистрироваться в СФР и платить ежемесячные взносы (</w:t>
      </w:r>
      <w:hyperlink r:id="rId10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ст. 4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, </w:t>
      </w:r>
      <w:hyperlink r:id="rId11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5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 Заявление об участии в эксперименте можно подать до 30 сентября 2027 года включительно (</w:t>
      </w:r>
      <w:hyperlink r:id="rId12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4 ст. 4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 Сделать это можно на бумаге или в электронной форме, в т.ч. через приложение "Мой налог" или Госуслуги (</w:t>
      </w:r>
      <w:hyperlink r:id="rId13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3 ст. 4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</w:t>
      </w:r>
    </w:p>
    <w:p w14:paraId="06A495FF" w14:textId="77777777" w:rsidR="00BC6F16" w:rsidRPr="00BC6F16" w:rsidRDefault="00BC6F16" w:rsidP="00BC6F16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Страховые суммы – 35 тыс. или 50 тыс. руб. (</w:t>
      </w:r>
      <w:hyperlink r:id="rId14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3 ст. 5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 Их будут повышать пропорционально увеличению МРОТ (</w:t>
      </w:r>
      <w:hyperlink r:id="rId15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4 ст. 5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 Сумму нужно выбрать, но потом можно изменить (</w:t>
      </w:r>
      <w:hyperlink r:id="rId16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8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и </w:t>
      </w:r>
      <w:hyperlink r:id="rId17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9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ст. 5 закона). Тариф взноса – 3,84% страховой суммы (</w:t>
      </w:r>
      <w:hyperlink r:id="rId18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7 ст. 5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 Платить взносы можно через приложение "Мой налог" (</w:t>
      </w:r>
      <w:hyperlink r:id="rId19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17 ст. 5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</w:t>
      </w:r>
    </w:p>
    <w:p w14:paraId="731AFB00" w14:textId="77777777" w:rsidR="00BC6F16" w:rsidRPr="00BC6F16" w:rsidRDefault="00BC6F16" w:rsidP="00BC6F16">
      <w:pPr>
        <w:shd w:val="clear" w:color="auto" w:fill="FFFFFF"/>
        <w:spacing w:beforeAutospacing="1" w:after="0" w:afterAutospacing="1" w:line="480" w:lineRule="atLeast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По общему правилу самозанятый сможет получать пособие по больничному после 6 месяцев уплаты взносов (</w:t>
      </w:r>
      <w:hyperlink r:id="rId20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ч. 1 ст. 6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 xml:space="preserve"> закона). Точный </w:t>
      </w:r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lastRenderedPageBreak/>
        <w:t>размер выплаты рассчитают исходя из стажа (в т.ч. за годы работы по найму) и периода уплаты взносов по правилам </w:t>
      </w:r>
      <w:hyperlink r:id="rId21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Закона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о страховании на случай нетрудоспособности (</w:t>
      </w:r>
      <w:hyperlink r:id="rId22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ст. 8</w:t>
        </w:r>
      </w:hyperlink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 закона).</w:t>
      </w:r>
    </w:p>
    <w:p w14:paraId="6D1C2502" w14:textId="77777777" w:rsidR="00BC6F16" w:rsidRPr="00BC6F16" w:rsidRDefault="00BC6F16" w:rsidP="00BC6F16">
      <w:pPr>
        <w:shd w:val="clear" w:color="auto" w:fill="F4F4F7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r w:rsidRPr="00BC6F16"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  <w:t>Документ:</w:t>
      </w:r>
    </w:p>
    <w:p w14:paraId="6BC4C139" w14:textId="77777777" w:rsidR="00BC6F16" w:rsidRPr="00BC6F16" w:rsidRDefault="00BC6F16" w:rsidP="00BC6F16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kern w:val="0"/>
          <w:sz w:val="26"/>
          <w:szCs w:val="26"/>
          <w:lang w:eastAsia="ru-RU"/>
          <w14:ligatures w14:val="none"/>
        </w:rPr>
      </w:pPr>
      <w:hyperlink r:id="rId23" w:history="1">
        <w:r w:rsidRPr="00BC6F16">
          <w:rPr>
            <w:rFonts w:ascii="PT Serif" w:eastAsia="Times New Roman" w:hAnsi="PT Serif" w:cs="Times New Roman"/>
            <w:kern w:val="0"/>
            <w:sz w:val="26"/>
            <w:szCs w:val="26"/>
            <w:bdr w:val="none" w:sz="0" w:space="0" w:color="auto" w:frame="1"/>
            <w:lang w:eastAsia="ru-RU"/>
            <w14:ligatures w14:val="none"/>
          </w:rPr>
          <w:t>Федеральный закон от 15.12.2025 N 456-ФЗ</w:t>
        </w:r>
      </w:hyperlink>
    </w:p>
    <w:p w14:paraId="5763BBAF" w14:textId="77777777" w:rsidR="00BC6F16" w:rsidRDefault="00BC6F16"/>
    <w:sectPr w:rsidR="00BC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16"/>
    <w:rsid w:val="00BC6F16"/>
    <w:rsid w:val="00C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A739"/>
  <w15:chartTrackingRefBased/>
  <w15:docId w15:val="{62287160-2CB4-45BC-BEC0-C6502AA7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9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34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21508;dst=100090" TargetMode="External"/><Relationship Id="rId13" Type="http://schemas.openxmlformats.org/officeDocument/2006/relationships/hyperlink" Target="consultantplus://offline/main?base=LAW;n=521508;dst=100031" TargetMode="External"/><Relationship Id="rId18" Type="http://schemas.openxmlformats.org/officeDocument/2006/relationships/hyperlink" Target="consultantplus://offline/main?base=LAW;n=521508;dst=1000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LAW;n=515493;dst=100053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main?base=LAW;n=521508;dst=100032" TargetMode="External"/><Relationship Id="rId17" Type="http://schemas.openxmlformats.org/officeDocument/2006/relationships/hyperlink" Target="consultantplus://offline/main?base=LAW;n=521508;dst=10004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521508;dst=100045" TargetMode="External"/><Relationship Id="rId20" Type="http://schemas.openxmlformats.org/officeDocument/2006/relationships/hyperlink" Target="consultantplus://offline/main?base=LAW;n=521508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ondb.consultant.ru/news/?tag_ids=732" TargetMode="External"/><Relationship Id="rId11" Type="http://schemas.openxmlformats.org/officeDocument/2006/relationships/hyperlink" Target="consultantplus://offline/main?base=LAW;n=521508;dst=10003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ndb.consultant.ru/news/?tag_ids=216" TargetMode="External"/><Relationship Id="rId15" Type="http://schemas.openxmlformats.org/officeDocument/2006/relationships/hyperlink" Target="consultantplus://offline/main?base=LAW;n=521508;dst=100039" TargetMode="External"/><Relationship Id="rId23" Type="http://schemas.openxmlformats.org/officeDocument/2006/relationships/hyperlink" Target="consultantplus://offline/main?base=LAW;n=521508;dst=100005" TargetMode="External"/><Relationship Id="rId10" Type="http://schemas.openxmlformats.org/officeDocument/2006/relationships/hyperlink" Target="consultantplus://offline/main?base=LAW;n=521508;dst=100028" TargetMode="External"/><Relationship Id="rId19" Type="http://schemas.openxmlformats.org/officeDocument/2006/relationships/hyperlink" Target="consultantplus://offline/main?base=LAW;n=521508;dst=100054" TargetMode="External"/><Relationship Id="rId4" Type="http://schemas.openxmlformats.org/officeDocument/2006/relationships/hyperlink" Target="https://ondb.consultant.ru/news/?tag_ids=1421" TargetMode="External"/><Relationship Id="rId9" Type="http://schemas.openxmlformats.org/officeDocument/2006/relationships/hyperlink" Target="consultantplus://offline/main?base=LAW;n=521508;dst=100010" TargetMode="External"/><Relationship Id="rId14" Type="http://schemas.openxmlformats.org/officeDocument/2006/relationships/hyperlink" Target="consultantplus://offline/main?base=LAW;n=521508;dst=100036" TargetMode="External"/><Relationship Id="rId22" Type="http://schemas.openxmlformats.org/officeDocument/2006/relationships/hyperlink" Target="consultantplus://offline/main?base=LAW;n=521508;dst=1000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2026-01-19T13:14:00Z</dcterms:created>
  <dcterms:modified xsi:type="dcterms:W3CDTF">2026-01-19T13:15:00Z</dcterms:modified>
</cp:coreProperties>
</file>